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79D16" w14:textId="77777777" w:rsidR="006438F9" w:rsidRPr="007B4A74" w:rsidRDefault="00924190" w:rsidP="006438F9">
      <w:pPr>
        <w:jc w:val="center"/>
      </w:pPr>
      <w:r w:rsidRPr="007B4A74">
        <w:t xml:space="preserve">  </w:t>
      </w:r>
      <w:r w:rsidR="00DD311E" w:rsidRPr="007B4A74">
        <w:t xml:space="preserve"> </w:t>
      </w:r>
      <w:r w:rsidR="00AE0806" w:rsidRPr="007B4A74">
        <w:rPr>
          <w:noProof/>
          <w:lang w:eastAsia="lv-LV"/>
        </w:rPr>
        <w:drawing>
          <wp:inline distT="0" distB="0" distL="0" distR="0" wp14:anchorId="192313F7" wp14:editId="71C19BE1">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B4A74">
        <w:t xml:space="preserve">  </w:t>
      </w:r>
    </w:p>
    <w:p w14:paraId="459233ED" w14:textId="77777777" w:rsidR="00DD311E" w:rsidRPr="007B4A74" w:rsidRDefault="00924190" w:rsidP="006438F9">
      <w:pPr>
        <w:jc w:val="center"/>
        <w:rPr>
          <w:szCs w:val="24"/>
        </w:rPr>
      </w:pPr>
      <w:r w:rsidRPr="007B4A74">
        <w:rPr>
          <w:szCs w:val="24"/>
        </w:rPr>
        <w:t xml:space="preserve">     Latvijas Republika</w:t>
      </w:r>
    </w:p>
    <w:p w14:paraId="14DEEA42" w14:textId="77777777" w:rsidR="00DD311E" w:rsidRPr="007B4A74" w:rsidRDefault="00924190" w:rsidP="006438F9">
      <w:pPr>
        <w:jc w:val="center"/>
        <w:rPr>
          <w:rFonts w:ascii="Bookman Old Style" w:hAnsi="Bookman Old Style"/>
          <w:sz w:val="22"/>
          <w:szCs w:val="22"/>
        </w:rPr>
      </w:pPr>
      <w:r w:rsidRPr="007B4A74">
        <w:rPr>
          <w:rFonts w:ascii="Bookman Old Style" w:hAnsi="Bookman Old Style"/>
          <w:b/>
          <w:sz w:val="32"/>
        </w:rPr>
        <w:t xml:space="preserve">    TALSU NOVADA </w:t>
      </w:r>
      <w:r w:rsidR="00E669A3" w:rsidRPr="007B4A74">
        <w:rPr>
          <w:rFonts w:ascii="Bookman Old Style" w:hAnsi="Bookman Old Style"/>
          <w:b/>
          <w:sz w:val="32"/>
        </w:rPr>
        <w:t xml:space="preserve">PAŠVALDĪBAS </w:t>
      </w:r>
      <w:r w:rsidRPr="007B4A74">
        <w:rPr>
          <w:rFonts w:ascii="Bookman Old Style" w:hAnsi="Bookman Old Style"/>
          <w:b/>
          <w:sz w:val="32"/>
        </w:rPr>
        <w:t>DOME</w:t>
      </w:r>
    </w:p>
    <w:p w14:paraId="46CDB3AD" w14:textId="77777777" w:rsidR="00DD311E" w:rsidRPr="007B4A74" w:rsidRDefault="00924190" w:rsidP="006438F9">
      <w:pPr>
        <w:jc w:val="center"/>
        <w:rPr>
          <w:sz w:val="22"/>
          <w:szCs w:val="22"/>
        </w:rPr>
      </w:pPr>
      <w:r w:rsidRPr="007B4A74">
        <w:rPr>
          <w:sz w:val="22"/>
          <w:szCs w:val="22"/>
        </w:rPr>
        <w:t xml:space="preserve">         Nodokļu maksātāja reģistrācijas Nr.90009113532</w:t>
      </w:r>
    </w:p>
    <w:p w14:paraId="5C72DB8C" w14:textId="77777777" w:rsidR="008A473D" w:rsidRPr="007B4A74" w:rsidRDefault="00924190" w:rsidP="008A473D">
      <w:pPr>
        <w:pBdr>
          <w:bottom w:val="single" w:sz="12" w:space="1" w:color="auto"/>
        </w:pBdr>
        <w:ind w:firstLine="120"/>
        <w:jc w:val="center"/>
        <w:rPr>
          <w:sz w:val="20"/>
        </w:rPr>
      </w:pPr>
      <w:r w:rsidRPr="007B4A74">
        <w:rPr>
          <w:sz w:val="20"/>
        </w:rPr>
        <w:t>Kareivju iela 7, Talsi, Talsu nov., LV-3201, tālr. 632321</w:t>
      </w:r>
      <w:r w:rsidR="00A26151" w:rsidRPr="007B4A74">
        <w:rPr>
          <w:sz w:val="20"/>
        </w:rPr>
        <w:t>10, e-pasts pasts</w:t>
      </w:r>
      <w:r w:rsidRPr="007B4A74">
        <w:rPr>
          <w:sz w:val="20"/>
        </w:rPr>
        <w:t>@talsi.lv</w:t>
      </w:r>
    </w:p>
    <w:p w14:paraId="3D5D72AF" w14:textId="77777777" w:rsidR="00D83A29" w:rsidRPr="007B4A74" w:rsidRDefault="00D83A29" w:rsidP="00AC4070">
      <w:pPr>
        <w:jc w:val="right"/>
        <w:rPr>
          <w:i/>
          <w:szCs w:val="24"/>
        </w:rPr>
        <w:sectPr w:rsidR="00D83A29" w:rsidRPr="007B4A74" w:rsidSect="00F41953">
          <w:headerReference w:type="default" r:id="rId8"/>
          <w:footerReference w:type="first" r:id="rId9"/>
          <w:pgSz w:w="11906" w:h="16838"/>
          <w:pgMar w:top="1134" w:right="1134" w:bottom="1134" w:left="1701" w:header="709" w:footer="709" w:gutter="0"/>
          <w:cols w:space="708"/>
          <w:docGrid w:linePitch="360"/>
        </w:sectPr>
      </w:pPr>
    </w:p>
    <w:p w14:paraId="67023913" w14:textId="77777777" w:rsidR="00337D31" w:rsidRPr="007B4A74" w:rsidRDefault="00337D31" w:rsidP="00345185">
      <w:pPr>
        <w:jc w:val="right"/>
        <w:rPr>
          <w:szCs w:val="24"/>
        </w:rPr>
      </w:pPr>
      <w:r w:rsidRPr="007B4A74">
        <w:rPr>
          <w:szCs w:val="24"/>
        </w:rPr>
        <w:t>APSTIPRINĀTS</w:t>
      </w:r>
    </w:p>
    <w:p w14:paraId="5B547860" w14:textId="77777777" w:rsidR="00337D31" w:rsidRPr="007B4A74" w:rsidRDefault="00337D31" w:rsidP="00345185">
      <w:pPr>
        <w:jc w:val="right"/>
        <w:rPr>
          <w:szCs w:val="24"/>
        </w:rPr>
      </w:pPr>
      <w:r w:rsidRPr="007B4A74">
        <w:rPr>
          <w:szCs w:val="24"/>
        </w:rPr>
        <w:t>ar Talsu novada 28.11.2024. domes lēmumu Nr._______</w:t>
      </w:r>
    </w:p>
    <w:p w14:paraId="529AD8FC" w14:textId="77777777" w:rsidR="00337D31" w:rsidRPr="007B4A74" w:rsidRDefault="00337D31" w:rsidP="00337D31">
      <w:pPr>
        <w:jc w:val="center"/>
        <w:rPr>
          <w:b/>
          <w:bCs/>
          <w:sz w:val="28"/>
          <w:szCs w:val="28"/>
        </w:rPr>
      </w:pPr>
    </w:p>
    <w:p w14:paraId="19831AC9" w14:textId="77777777" w:rsidR="00337D31" w:rsidRPr="007B4A74" w:rsidRDefault="00337D31" w:rsidP="00337D31">
      <w:pPr>
        <w:jc w:val="center"/>
        <w:rPr>
          <w:b/>
          <w:bCs/>
          <w:sz w:val="28"/>
          <w:szCs w:val="28"/>
        </w:rPr>
      </w:pPr>
      <w:r w:rsidRPr="007B4A74">
        <w:rPr>
          <w:b/>
          <w:bCs/>
          <w:sz w:val="28"/>
          <w:szCs w:val="28"/>
        </w:rPr>
        <w:t>Talsu novada Pašvaldības pedagoģiski medicīniskās komisijas nolikums</w:t>
      </w:r>
    </w:p>
    <w:p w14:paraId="0C3536BC" w14:textId="77777777" w:rsidR="00337D31" w:rsidRPr="007B4A74" w:rsidRDefault="00337D31" w:rsidP="00337D31">
      <w:pPr>
        <w:jc w:val="right"/>
        <w:rPr>
          <w:szCs w:val="24"/>
        </w:rPr>
      </w:pPr>
    </w:p>
    <w:p w14:paraId="70818D21" w14:textId="77777777" w:rsidR="00337D31" w:rsidRPr="007B4A74" w:rsidRDefault="00337D31" w:rsidP="00337D31">
      <w:pPr>
        <w:jc w:val="right"/>
        <w:rPr>
          <w:i/>
          <w:iCs/>
          <w:szCs w:val="24"/>
        </w:rPr>
      </w:pPr>
      <w:r w:rsidRPr="007B4A74">
        <w:rPr>
          <w:i/>
          <w:iCs/>
          <w:szCs w:val="24"/>
        </w:rPr>
        <w:t>Izdots saskaņā ar Valsts pārvaldes iekārtas</w:t>
      </w:r>
    </w:p>
    <w:p w14:paraId="35102C17" w14:textId="77777777" w:rsidR="00337D31" w:rsidRPr="007B4A74" w:rsidRDefault="00337D31" w:rsidP="00337D31">
      <w:pPr>
        <w:jc w:val="right"/>
        <w:rPr>
          <w:i/>
          <w:iCs/>
          <w:szCs w:val="24"/>
        </w:rPr>
      </w:pPr>
      <w:r w:rsidRPr="007B4A74">
        <w:rPr>
          <w:i/>
          <w:iCs/>
          <w:szCs w:val="24"/>
        </w:rPr>
        <w:t>likuma 73. panta pirmās daļas 1. punktu,</w:t>
      </w:r>
    </w:p>
    <w:p w14:paraId="487846FF" w14:textId="77777777" w:rsidR="00337D31" w:rsidRPr="007B4A74" w:rsidRDefault="00337D31" w:rsidP="00337D31">
      <w:pPr>
        <w:jc w:val="right"/>
        <w:rPr>
          <w:i/>
          <w:iCs/>
          <w:szCs w:val="24"/>
        </w:rPr>
      </w:pPr>
      <w:r w:rsidRPr="007B4A74">
        <w:rPr>
          <w:i/>
          <w:iCs/>
          <w:szCs w:val="24"/>
        </w:rPr>
        <w:t>Vispārējās izglītības likuma 54.panta pirmo daļu,</w:t>
      </w:r>
    </w:p>
    <w:p w14:paraId="494879E8" w14:textId="77777777" w:rsidR="00337D31" w:rsidRPr="007B4A74" w:rsidRDefault="00337D31" w:rsidP="00337D31">
      <w:pPr>
        <w:jc w:val="right"/>
        <w:rPr>
          <w:i/>
          <w:iCs/>
          <w:szCs w:val="24"/>
        </w:rPr>
      </w:pPr>
      <w:r w:rsidRPr="007B4A74">
        <w:rPr>
          <w:i/>
          <w:iCs/>
          <w:szCs w:val="24"/>
        </w:rPr>
        <w:t>Izglītības likuma 17.panta trešās daļas 19.punktu</w:t>
      </w:r>
    </w:p>
    <w:p w14:paraId="7C7987E1" w14:textId="77777777" w:rsidR="00337D31" w:rsidRPr="007B4A74" w:rsidRDefault="00337D31" w:rsidP="002D2DE0">
      <w:pPr>
        <w:jc w:val="right"/>
        <w:rPr>
          <w:i/>
          <w:iCs/>
          <w:szCs w:val="24"/>
        </w:rPr>
      </w:pPr>
    </w:p>
    <w:p w14:paraId="5D5EB155" w14:textId="77777777" w:rsidR="00337D31" w:rsidRDefault="00337D31" w:rsidP="002D2DE0">
      <w:pPr>
        <w:pStyle w:val="Sarakstarindkopa"/>
        <w:numPr>
          <w:ilvl w:val="0"/>
          <w:numId w:val="5"/>
        </w:numPr>
        <w:overflowPunct/>
        <w:autoSpaceDE/>
        <w:autoSpaceDN/>
        <w:adjustRightInd/>
        <w:ind w:left="426"/>
        <w:jc w:val="center"/>
        <w:textAlignment w:val="auto"/>
        <w:rPr>
          <w:b/>
          <w:bCs/>
          <w:szCs w:val="24"/>
        </w:rPr>
      </w:pPr>
      <w:r w:rsidRPr="007B4A74">
        <w:rPr>
          <w:b/>
          <w:bCs/>
          <w:szCs w:val="24"/>
        </w:rPr>
        <w:t>Vispārējie jautājumi</w:t>
      </w:r>
    </w:p>
    <w:p w14:paraId="393EC2A7" w14:textId="77777777" w:rsidR="002D2DE0" w:rsidRPr="007B4A74" w:rsidRDefault="002D2DE0" w:rsidP="002D2DE0">
      <w:pPr>
        <w:pStyle w:val="Sarakstarindkopa"/>
        <w:overflowPunct/>
        <w:autoSpaceDE/>
        <w:autoSpaceDN/>
        <w:adjustRightInd/>
        <w:ind w:left="426"/>
        <w:textAlignment w:val="auto"/>
        <w:rPr>
          <w:b/>
          <w:bCs/>
          <w:szCs w:val="24"/>
        </w:rPr>
      </w:pPr>
    </w:p>
    <w:p w14:paraId="075354CB"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Talsu novada Pašvaldības pedagoģiski medicīniskās komisijas (turpmāk – Komisija) nolikums (turpmāk – Nolikums) nosaka Komisijas darbības mērķus, kompetenci, tiesības, atbildību, struktūru un darba organizāciju.</w:t>
      </w:r>
    </w:p>
    <w:p w14:paraId="22E8B2A9" w14:textId="77777777" w:rsidR="00337D31" w:rsidRPr="007B4A74" w:rsidRDefault="00337D31" w:rsidP="002D2DE0">
      <w:pPr>
        <w:pStyle w:val="Sarakstarindkopa"/>
        <w:numPr>
          <w:ilvl w:val="1"/>
          <w:numId w:val="5"/>
        </w:numPr>
        <w:overflowPunct/>
        <w:autoSpaceDE/>
        <w:autoSpaceDN/>
        <w:adjustRightInd/>
        <w:ind w:left="426"/>
        <w:jc w:val="both"/>
        <w:textAlignment w:val="auto"/>
        <w:rPr>
          <w:color w:val="000000" w:themeColor="text1"/>
          <w:szCs w:val="24"/>
        </w:rPr>
      </w:pPr>
      <w:r w:rsidRPr="007B4A74">
        <w:rPr>
          <w:szCs w:val="24"/>
        </w:rPr>
        <w:t xml:space="preserve"> Komisija ir patstāvīgi funkcionējoša institūcija, kuras kompetenci, pienākumus, tiesības profesionālās prasības komisijas locekļiem, kā arī kritērijus, pēc kuriem komisija sniedz atzinumu par izglītojamajam atbilstošāko izglītības programmu, nosaka Ministru kabineta 2012.gada 16.oktobra noteikumi Nr.709 “Noteikumi par pedagoģiski medicīniskajām komisijām” (turpmāk – Ministru kabineta noteikumi Nr.709), Valsts izglītības satura centra izstrādātās  “Metodiskās rekomendācijas pašvaldību pedagoģiski medicīnisko komisiju sēžu darba organizēšanai” un “Metodiskie ieteikumi speciālistu (psihologs, logopēds, speciālais </w:t>
      </w:r>
      <w:r w:rsidRPr="007B4A74">
        <w:rPr>
          <w:color w:val="000000" w:themeColor="text1"/>
          <w:szCs w:val="24"/>
        </w:rPr>
        <w:t>pedagogs) dokumentu sagatavošanai”. Komisijas tehnisko un organizatorisko atbalstu nodrošina Talsu novada pašvaldības (turpmāk – Pašvaldība) Izglītības pārvalde.</w:t>
      </w:r>
    </w:p>
    <w:p w14:paraId="541AB8BD" w14:textId="2D995E56" w:rsidR="00337D31" w:rsidRPr="007B4A74" w:rsidRDefault="00337D31" w:rsidP="002D2DE0">
      <w:pPr>
        <w:pStyle w:val="Sarakstarindkopa"/>
        <w:numPr>
          <w:ilvl w:val="1"/>
          <w:numId w:val="5"/>
        </w:numPr>
        <w:overflowPunct/>
        <w:autoSpaceDE/>
        <w:autoSpaceDN/>
        <w:adjustRightInd/>
        <w:ind w:left="426"/>
        <w:jc w:val="both"/>
        <w:textAlignment w:val="auto"/>
        <w:rPr>
          <w:color w:val="000000" w:themeColor="text1"/>
          <w:szCs w:val="24"/>
        </w:rPr>
      </w:pPr>
      <w:r w:rsidRPr="007B4A74">
        <w:rPr>
          <w:color w:val="000000" w:themeColor="text1"/>
          <w:szCs w:val="24"/>
        </w:rPr>
        <w:t xml:space="preserve"> Komisiju</w:t>
      </w:r>
      <w:r w:rsidR="001D60FC">
        <w:rPr>
          <w:color w:val="000000" w:themeColor="text1"/>
          <w:szCs w:val="24"/>
        </w:rPr>
        <w:t xml:space="preserve">, </w:t>
      </w:r>
      <w:r w:rsidR="001D60FC" w:rsidRPr="007B4A74">
        <w:rPr>
          <w:color w:val="000000" w:themeColor="text1"/>
          <w:szCs w:val="24"/>
        </w:rPr>
        <w:t>atbilstoši Ministru kabineta noteikumiem Nr.709.</w:t>
      </w:r>
      <w:r w:rsidRPr="007B4A74">
        <w:rPr>
          <w:color w:val="000000" w:themeColor="text1"/>
          <w:szCs w:val="24"/>
        </w:rPr>
        <w:t xml:space="preserve"> vismaz 5 locekļu sastāvā</w:t>
      </w:r>
      <w:r w:rsidR="001D60FC">
        <w:rPr>
          <w:color w:val="000000" w:themeColor="text1"/>
          <w:szCs w:val="24"/>
        </w:rPr>
        <w:t xml:space="preserve"> – komisijas vadītājs un vismaz 4 komisijas locekļi, </w:t>
      </w:r>
      <w:r w:rsidRPr="007B4A74">
        <w:rPr>
          <w:color w:val="000000" w:themeColor="text1"/>
          <w:szCs w:val="24"/>
        </w:rPr>
        <w:t>izveido un apstiprina Talsu novada pašvaldības izpilddirektors (turpmāk – izpilddirektors). Komisija pilda savus pienākumus līdz jaunas Komisijas apstiprināšanai.</w:t>
      </w:r>
    </w:p>
    <w:p w14:paraId="202DFF1B"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Darbam Komisijas sastāvā tiek iekļauti komisijas locekļi, kuru zināšanas, profesionālā pieredze un kvalifikācija ļauj objektīvi izvērtēt Komisijas kompetencē esošos jautājumus un atbilst Ministru kabineta noteikumos Nr.709 minētajām profesionālajām prasībām.</w:t>
      </w:r>
    </w:p>
    <w:p w14:paraId="1FA07D7C"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 savā darbībā ievēro Eiropas Savienības direktīvas, regulas, Eiropas Savienības Tiesas nolēmumus, Ministru kabineta noteikumus Nr.709, citus Latvijas Republikas normatīvos aktus, Pašvaldības iekšējos normatīvos aktus, Domes lēmumus, Pašvaldības atbildīgo amatpersonu rīkojumus un šo Nolikumu.</w:t>
      </w:r>
    </w:p>
    <w:p w14:paraId="6AFACD3E" w14:textId="45193C82"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 iekšējā un ārējā sarakstē izmanto apstiprināta parauga</w:t>
      </w:r>
      <w:r w:rsidR="00A210BC">
        <w:rPr>
          <w:szCs w:val="24"/>
        </w:rPr>
        <w:t xml:space="preserve"> veidlapu.</w:t>
      </w:r>
    </w:p>
    <w:p w14:paraId="32A0C381" w14:textId="77777777" w:rsidR="00337D31"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darbība tiek finansēta no Pašvaldības budžeta līdzekļiem.</w:t>
      </w:r>
    </w:p>
    <w:p w14:paraId="384CF135" w14:textId="77777777" w:rsidR="002D2DE0" w:rsidRPr="002D2DE0" w:rsidRDefault="002D2DE0" w:rsidP="002D2DE0">
      <w:pPr>
        <w:overflowPunct/>
        <w:autoSpaceDE/>
        <w:autoSpaceDN/>
        <w:adjustRightInd/>
        <w:ind w:left="1080"/>
        <w:jc w:val="both"/>
        <w:textAlignment w:val="auto"/>
        <w:rPr>
          <w:szCs w:val="24"/>
        </w:rPr>
      </w:pPr>
    </w:p>
    <w:p w14:paraId="51E9F882" w14:textId="77777777" w:rsidR="00B123DA" w:rsidRDefault="00B123DA">
      <w:pPr>
        <w:overflowPunct/>
        <w:autoSpaceDE/>
        <w:autoSpaceDN/>
        <w:adjustRightInd/>
        <w:textAlignment w:val="auto"/>
        <w:rPr>
          <w:b/>
          <w:bCs/>
          <w:szCs w:val="24"/>
        </w:rPr>
      </w:pPr>
      <w:r>
        <w:rPr>
          <w:b/>
          <w:bCs/>
          <w:szCs w:val="24"/>
        </w:rPr>
        <w:br w:type="page"/>
      </w:r>
    </w:p>
    <w:p w14:paraId="5C78E8A1" w14:textId="2CD3BC42" w:rsidR="00337D31" w:rsidRDefault="00337D31" w:rsidP="002D2DE0">
      <w:pPr>
        <w:pStyle w:val="Sarakstarindkopa"/>
        <w:numPr>
          <w:ilvl w:val="0"/>
          <w:numId w:val="5"/>
        </w:numPr>
        <w:overflowPunct/>
        <w:autoSpaceDE/>
        <w:autoSpaceDN/>
        <w:adjustRightInd/>
        <w:ind w:left="426"/>
        <w:jc w:val="center"/>
        <w:textAlignment w:val="auto"/>
        <w:rPr>
          <w:b/>
          <w:bCs/>
          <w:szCs w:val="24"/>
        </w:rPr>
      </w:pPr>
      <w:r w:rsidRPr="007B4A74">
        <w:rPr>
          <w:b/>
          <w:bCs/>
          <w:szCs w:val="24"/>
        </w:rPr>
        <w:lastRenderedPageBreak/>
        <w:t>Komisijas darbības mērķis un kompetence</w:t>
      </w:r>
    </w:p>
    <w:p w14:paraId="75A69CE5" w14:textId="77777777" w:rsidR="002D2DE0" w:rsidRPr="002D2DE0" w:rsidRDefault="002D2DE0" w:rsidP="002D2DE0">
      <w:pPr>
        <w:overflowPunct/>
        <w:autoSpaceDE/>
        <w:autoSpaceDN/>
        <w:adjustRightInd/>
        <w:ind w:left="1080"/>
        <w:jc w:val="center"/>
        <w:textAlignment w:val="auto"/>
        <w:rPr>
          <w:b/>
          <w:bCs/>
          <w:szCs w:val="24"/>
        </w:rPr>
      </w:pPr>
    </w:p>
    <w:p w14:paraId="25814E3E"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darbības mērķis ir sniegt atzinumu par izglītojamam atbilstošāko izglītības programmu, kā arī rekomendācijas un ieteikumus speciālās izglītības un integratīvās izglītības jautājumos attiecīgās pašvaldības administratīvajā teritorijā esošajām izglītības iestādēm un metodiski vadīt to izpildi.</w:t>
      </w:r>
    </w:p>
    <w:p w14:paraId="6CA36D9F"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Komisijas kompetence ir noteikta Ministru kabineta noteikumos Nr.709.</w:t>
      </w:r>
    </w:p>
    <w:p w14:paraId="54B16971"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Komisijas tiesības ir noteiktas Ministru kabineta noteikumos Nr.709. Papildus tam, Komisijai ir tiesības:</w:t>
      </w:r>
    </w:p>
    <w:p w14:paraId="3526F77B"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pieprasīt un saņemt no Pašvaldības amatpersonām un darbiniekiem, organizācijām un Pašvaldības institūcijām nepieciešamo informāciju Komisijas kompetencē esošo jautājumu risināšanai;</w:t>
      </w:r>
    </w:p>
    <w:p w14:paraId="32F104F3"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pamatojoties uz Komisijas priekšlikumiem un atzinumiem, Komisijas kompetences ietvaros sagatavot lēmumprojektus izskatīšanai Domes komitejās un sēdēs;</w:t>
      </w:r>
    </w:p>
    <w:p w14:paraId="63579AE4"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kvalifikācijas paaugstināšanai piedalīties semināros un apmeklēt apmācību kursus un seminārus, kas saistīti ar darba specifiku un veicamajiem uzdevumiem.</w:t>
      </w:r>
    </w:p>
    <w:p w14:paraId="32DE1B02"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 ir atbildīga par:</w:t>
      </w:r>
    </w:p>
    <w:p w14:paraId="0DBEF113"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Nolikumā un normatīvajos aktos noteikto pienākumu un uzdevumu savlaicīgu un kvalitatīvu izpildi;</w:t>
      </w:r>
    </w:p>
    <w:p w14:paraId="7133151B"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skatāmo jautājumu laikā iegūtās informācijas konfidencialitātes saglabāšanu;</w:t>
      </w:r>
    </w:p>
    <w:p w14:paraId="4FBD9748" w14:textId="77777777" w:rsidR="00337D31" w:rsidRDefault="00337D31" w:rsidP="002D2DE0">
      <w:pPr>
        <w:pStyle w:val="Sarakstarindkopa"/>
        <w:numPr>
          <w:ilvl w:val="2"/>
          <w:numId w:val="5"/>
        </w:numPr>
        <w:overflowPunct/>
        <w:autoSpaceDE/>
        <w:autoSpaceDN/>
        <w:adjustRightInd/>
        <w:jc w:val="both"/>
        <w:textAlignment w:val="auto"/>
        <w:rPr>
          <w:szCs w:val="24"/>
        </w:rPr>
      </w:pPr>
      <w:r w:rsidRPr="007B4A74">
        <w:rPr>
          <w:szCs w:val="24"/>
        </w:rPr>
        <w:t>Ministru kabineta noteikumos Nr.709, citos normatīvajos aktos un Valsts izglītības centra metodiskajās rekomendācijās pašvaldību pedagoģiski medicīnisko komisiju sēžu darba organizēšanai (turpmāk – metodiskās rekomendācijas) noteikto prasību ievērošanu savu pienākumu izpildē.</w:t>
      </w:r>
    </w:p>
    <w:p w14:paraId="3E1954F5" w14:textId="77777777" w:rsidR="002D2DE0" w:rsidRPr="002D2DE0" w:rsidRDefault="002D2DE0" w:rsidP="002D2DE0">
      <w:pPr>
        <w:overflowPunct/>
        <w:autoSpaceDE/>
        <w:autoSpaceDN/>
        <w:adjustRightInd/>
        <w:ind w:left="1080"/>
        <w:jc w:val="both"/>
        <w:textAlignment w:val="auto"/>
        <w:rPr>
          <w:szCs w:val="24"/>
        </w:rPr>
      </w:pPr>
    </w:p>
    <w:p w14:paraId="37618358" w14:textId="77777777" w:rsidR="00337D31" w:rsidRDefault="00337D31" w:rsidP="002D2DE0">
      <w:pPr>
        <w:pStyle w:val="Sarakstarindkopa"/>
        <w:numPr>
          <w:ilvl w:val="0"/>
          <w:numId w:val="5"/>
        </w:numPr>
        <w:overflowPunct/>
        <w:autoSpaceDE/>
        <w:autoSpaceDN/>
        <w:adjustRightInd/>
        <w:ind w:left="426"/>
        <w:jc w:val="center"/>
        <w:textAlignment w:val="auto"/>
        <w:rPr>
          <w:b/>
          <w:bCs/>
          <w:szCs w:val="24"/>
        </w:rPr>
      </w:pPr>
      <w:r w:rsidRPr="007B4A74">
        <w:rPr>
          <w:b/>
          <w:bCs/>
          <w:szCs w:val="24"/>
        </w:rPr>
        <w:t>Komisijas struktūra</w:t>
      </w:r>
    </w:p>
    <w:p w14:paraId="7653A950" w14:textId="77777777" w:rsidR="002D2DE0" w:rsidRPr="002D2DE0" w:rsidRDefault="002D2DE0" w:rsidP="002D2DE0">
      <w:pPr>
        <w:overflowPunct/>
        <w:autoSpaceDE/>
        <w:autoSpaceDN/>
        <w:adjustRightInd/>
        <w:ind w:left="1080"/>
        <w:jc w:val="center"/>
        <w:textAlignment w:val="auto"/>
        <w:rPr>
          <w:b/>
          <w:bCs/>
          <w:szCs w:val="24"/>
        </w:rPr>
      </w:pPr>
    </w:p>
    <w:p w14:paraId="035883C0" w14:textId="5262B5E6"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vadītājs:</w:t>
      </w:r>
    </w:p>
    <w:p w14:paraId="75C31A57"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organizē un vada Komisijas darbu;</w:t>
      </w:r>
    </w:p>
    <w:p w14:paraId="58D66148"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sagatavo jautājumus izskatīšanai Komisijas sēdē;</w:t>
      </w:r>
    </w:p>
    <w:p w14:paraId="335EF3BA"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nosaka Komisijas sēžu vietu, laiku un darba kārtību;</w:t>
      </w:r>
    </w:p>
    <w:p w14:paraId="5CB907FA"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atklāj, vada, pārtrauc un slēdz Komisijas sēdes;</w:t>
      </w:r>
    </w:p>
    <w:p w14:paraId="4173E0C1"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paraksta Komisijas sēžu protokolus, kā arī citus Komisijas dokumentus;</w:t>
      </w:r>
    </w:p>
    <w:p w14:paraId="15822B46"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sadala Komisijas locekļu pienākumus, kontrolē un novērtē pienākumu izpildi;</w:t>
      </w:r>
    </w:p>
    <w:p w14:paraId="3DC2EA21"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lūdz veikt izmaiņas Komisijas sastāvā, ja tiek konstatēts, ka Komisijas sastāvs nevar nodrošināt sekmīgu Komisijas darbu;</w:t>
      </w:r>
    </w:p>
    <w:p w14:paraId="799CDBB0"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iesniedz Domei priekšlikumus, paskaidrojumus un ieteikumus jautājumos, kas ietilpst Komisijas kompetencē;</w:t>
      </w:r>
    </w:p>
    <w:p w14:paraId="11A4D7C4"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atbild par visu Komisijas rīcībā nodoto un esošo materiālo vērtību saglabāšanu;</w:t>
      </w:r>
    </w:p>
    <w:p w14:paraId="7BF6322C"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sagatavo informāciju un veic saraksti ar dažādām iestādēm, institūcijām un organizācijām par Komisijas kompetencē esošajiem jautājumiem;</w:t>
      </w:r>
    </w:p>
    <w:p w14:paraId="2EEFB620"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pārstāv Komisiju visās valsts un pašvaldību institūcijās, sabiedriskajās organizācijās, tiesās, kā arī citās Latvijas Republikas un starptautiskajās organizācijās;</w:t>
      </w:r>
    </w:p>
    <w:p w14:paraId="3D2AB215"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nodrošina darbības, kas saistītas ar korupcijas, interešu konflikta un normatīvo aktu prasību neievērošanas risku novēršanu.</w:t>
      </w:r>
    </w:p>
    <w:p w14:paraId="29FE9BE8"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locekļi:</w:t>
      </w:r>
    </w:p>
    <w:p w14:paraId="27AFE9AD"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piedalās Komisijas sēdēs;</w:t>
      </w:r>
    </w:p>
    <w:p w14:paraId="22A455E2"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lastRenderedPageBreak/>
        <w:t>ne vēlāk kā vienu darba dienu pirms noteiktās Komisijas sēdes informē Komisijas vadītāju par prombūtni vai citiem apstākļiem, kuru dēļ Komisijas loceklis nevar piedalīties Komisijas sēdē;</w:t>
      </w:r>
    </w:p>
    <w:p w14:paraId="157F963F"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ar pašvaldības pilnvarojumu pārstāv Komisiju visās valsts un pašvaldību institūcijās, sabiedriskajās organizācijās, tiesās, kā arī citās Latvijas Republikas un starptautiskajās organizācijās;</w:t>
      </w:r>
    </w:p>
    <w:p w14:paraId="5AB3ABE1"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pilda Komisijas vadītāja uzdotos pienākumus un norādījumus.</w:t>
      </w:r>
    </w:p>
    <w:p w14:paraId="39D5AB09"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vadītājs vai locekļi var pārtraukt darbību Komisijā, iesniedzot iesniegumu pašvaldībā par savu amata pienākumu pildīšanas izbeigšanu.</w:t>
      </w:r>
    </w:p>
    <w:p w14:paraId="2A073435" w14:textId="489F1C8E" w:rsidR="007B4A74" w:rsidRDefault="007B4A74" w:rsidP="002D2DE0">
      <w:pPr>
        <w:pStyle w:val="Sarakstarindkopa"/>
        <w:numPr>
          <w:ilvl w:val="1"/>
          <w:numId w:val="5"/>
        </w:numPr>
        <w:overflowPunct/>
        <w:autoSpaceDE/>
        <w:autoSpaceDN/>
        <w:adjustRightInd/>
        <w:ind w:left="426"/>
        <w:jc w:val="both"/>
        <w:textAlignment w:val="auto"/>
        <w:rPr>
          <w:szCs w:val="24"/>
        </w:rPr>
      </w:pPr>
      <w:r w:rsidRPr="007B4A74">
        <w:rPr>
          <w:szCs w:val="24"/>
        </w:rPr>
        <w:t>Valsts amatpersonas statuss tiek noteikts Komisijas vadītājam.</w:t>
      </w:r>
    </w:p>
    <w:p w14:paraId="0791F528" w14:textId="77777777" w:rsidR="002D2DE0" w:rsidRPr="002D2DE0" w:rsidRDefault="002D2DE0" w:rsidP="002D2DE0">
      <w:pPr>
        <w:overflowPunct/>
        <w:autoSpaceDE/>
        <w:autoSpaceDN/>
        <w:adjustRightInd/>
        <w:ind w:left="1080"/>
        <w:jc w:val="both"/>
        <w:textAlignment w:val="auto"/>
        <w:rPr>
          <w:szCs w:val="24"/>
        </w:rPr>
      </w:pPr>
    </w:p>
    <w:p w14:paraId="550F3902" w14:textId="77777777" w:rsidR="00337D31" w:rsidRDefault="00337D31" w:rsidP="002D2DE0">
      <w:pPr>
        <w:pStyle w:val="Sarakstarindkopa"/>
        <w:numPr>
          <w:ilvl w:val="0"/>
          <w:numId w:val="5"/>
        </w:numPr>
        <w:overflowPunct/>
        <w:autoSpaceDE/>
        <w:autoSpaceDN/>
        <w:adjustRightInd/>
        <w:ind w:left="426"/>
        <w:jc w:val="center"/>
        <w:textAlignment w:val="auto"/>
        <w:rPr>
          <w:b/>
          <w:bCs/>
          <w:szCs w:val="24"/>
        </w:rPr>
      </w:pPr>
      <w:r w:rsidRPr="007B4A74">
        <w:rPr>
          <w:b/>
          <w:bCs/>
          <w:szCs w:val="24"/>
        </w:rPr>
        <w:t>Komisijas darba organizācija</w:t>
      </w:r>
    </w:p>
    <w:p w14:paraId="0A5867A6" w14:textId="77777777" w:rsidR="002D2DE0" w:rsidRPr="002D2DE0" w:rsidRDefault="002D2DE0" w:rsidP="002D2DE0">
      <w:pPr>
        <w:overflowPunct/>
        <w:autoSpaceDE/>
        <w:autoSpaceDN/>
        <w:adjustRightInd/>
        <w:ind w:left="1080"/>
        <w:jc w:val="center"/>
        <w:textAlignment w:val="auto"/>
        <w:rPr>
          <w:b/>
          <w:bCs/>
          <w:szCs w:val="24"/>
        </w:rPr>
      </w:pPr>
    </w:p>
    <w:p w14:paraId="440AD92B"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 lēmumus pieņem sēdēs. Komisijas sēdes notiek saskaņā ar Komisijas vadītāja apstiprinātu grafiku. Nepieciešamības gadījumā sēde var tikt sasaukta arī ārpus noteiktā grafika. Komisijas sēdi, nosakot sēdes norises vietu, laiku un darba kārtību, sasauc Komisijas  vadītājs.</w:t>
      </w:r>
    </w:p>
    <w:p w14:paraId="6F3A1F7C"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Komisijas darba kārtība tiek izziņota ne vēlāk kā vienu darba dienu pirms Komisijas sēdes.</w:t>
      </w:r>
    </w:p>
    <w:p w14:paraId="23D6C239" w14:textId="03EA6BC0"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Komisijas sēdes ir slēgtas un tajās piedalās Komisijas locekļi un uz Komisijas sēdi uzaicinātās personas.</w:t>
      </w:r>
    </w:p>
    <w:p w14:paraId="00E5C706" w14:textId="353E0B70"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 ir lemttiesīga, ja komisijas sēdē piedalās </w:t>
      </w:r>
      <w:r w:rsidR="00B672FF" w:rsidRPr="007B4A74">
        <w:rPr>
          <w:szCs w:val="24"/>
        </w:rPr>
        <w:t xml:space="preserve">vismaz viens pārstāvis no katra komisijā nepieciešamā speciālista pārstāvjiem </w:t>
      </w:r>
      <w:r w:rsidRPr="007B4A74">
        <w:rPr>
          <w:szCs w:val="24"/>
        </w:rPr>
        <w:t>– speciālais pedagogs, psihologs, logopēds un sertificēta ārstniecības persona (ārsts). Kārtējā Komisijas sēde tiek atlikta, ja uz sēdi nav ieradies kāds no iepriekš minētiem locekļiem. Šādā gadījumā Komisijas vadītājs sasauc atkārtotu Komisijas sēdi.</w:t>
      </w:r>
    </w:p>
    <w:p w14:paraId="0A10DB25"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Ja Komisijas loceklis bez attaisnojoša iemesla nav apmeklējis 3 (trīs) Komisijas sēdes pēc kārtas vai sistemātiski nepilda Komisijas locekļa pienākumus, tad Komisijas vadītājs ir tiesīgs rosināt Domei atbrīvot Komisijas locekli no amata pienākumu pildīšanas.</w:t>
      </w:r>
    </w:p>
    <w:p w14:paraId="43B3C321" w14:textId="20C91803"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Komisija iesniegtos dokumentus un katra komisijas locekļa bērna izvērtējuma rezultātus izvērtē kopsakarībā un vienojas par kopīgu lēmumu, akcentējot bērna spējas.  Komisijas locekļi nevar atturēties no </w:t>
      </w:r>
      <w:r w:rsidR="00B91882" w:rsidRPr="007B4A74">
        <w:rPr>
          <w:szCs w:val="24"/>
        </w:rPr>
        <w:t>izvērtējuma sagatavošanas un ievadīšanas pedagoģiski medicīnisko komisiju informācijas sistēmā</w:t>
      </w:r>
      <w:r w:rsidRPr="007B4A74">
        <w:rPr>
          <w:szCs w:val="24"/>
        </w:rPr>
        <w:t>. Ja komisijas locekļiem radušās nenovēršamas domstarpības, gadījums ir sarežģīts vai par lēmuma pamatotību un objektivitāti rodas šaubas, komisija var atkārtoti veikt izpēti, norādot papildu nepieciešamās izpētes darbības.</w:t>
      </w:r>
    </w:p>
    <w:p w14:paraId="707A653D" w14:textId="41D4594B"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Komisijas protokoli tiek noformēti valsts un pašvaldību pedagoģiski medicīnisko komisiju informācijas sistēmā. </w:t>
      </w:r>
    </w:p>
    <w:p w14:paraId="228ACA46"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sēžu protokolus paraksta visi klātesošie Komisijas locekļi.</w:t>
      </w:r>
    </w:p>
    <w:p w14:paraId="417EB5AC" w14:textId="4557EE6F"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atzinumu</w:t>
      </w:r>
      <w:r w:rsidR="009377A9" w:rsidRPr="007B4A74">
        <w:rPr>
          <w:szCs w:val="24"/>
        </w:rPr>
        <w:t xml:space="preserve"> </w:t>
      </w:r>
      <w:r w:rsidRPr="007B4A74">
        <w:rPr>
          <w:szCs w:val="24"/>
        </w:rPr>
        <w:t>paraksta komisijas vadītājs.</w:t>
      </w:r>
    </w:p>
    <w:p w14:paraId="350C63F2" w14:textId="7D23DCC4"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sēžu protokoli tiek sagatavoti valsts un pašvaldību pedagoģiski medicīnisko komisiju informācijas sistēmā Ministru kabineta noteikumos Nr.709 minētajā kārtībā un termiņā</w:t>
      </w:r>
      <w:r w:rsidR="009377A9" w:rsidRPr="007B4A74">
        <w:rPr>
          <w:szCs w:val="24"/>
        </w:rPr>
        <w:t xml:space="preserve">. </w:t>
      </w:r>
    </w:p>
    <w:p w14:paraId="37631A4C"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 vienu reizi gadā (janvāra mēnesī) sniedz Talsu novada pašvaldības domes Sociālo, izglītības, kultūras un sporta jautājumu komitejai pārskatu par savu darbību. Pārskats par Komisijas darbību tiek iesniegts arī pēc Domes, tās priekšsēdētāja, viņa vietnieku vai Sociālo, izglītības, kultūras un sporta komitejas vadītāja pieprasījuma.</w:t>
      </w:r>
    </w:p>
    <w:p w14:paraId="6FF4B836"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darbību raksturojošie rādītāji ir:</w:t>
      </w:r>
    </w:p>
    <w:p w14:paraId="1A4BF152"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notikušo komisijas sēžu skaits;</w:t>
      </w:r>
    </w:p>
    <w:p w14:paraId="6E759A72"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izsniegto atzinumu skaits (kopā, par piemērotāko speciālās izglītības programmu, par speciālās programmas pārtraukšanu, par ilgstoši slimojošo apmācības formas piešķiršanu);</w:t>
      </w:r>
    </w:p>
    <w:p w14:paraId="30B30871" w14:textId="77777777" w:rsidR="00337D31" w:rsidRPr="007B4A74" w:rsidRDefault="00337D31" w:rsidP="002D2DE0">
      <w:pPr>
        <w:pStyle w:val="Sarakstarindkopa"/>
        <w:numPr>
          <w:ilvl w:val="2"/>
          <w:numId w:val="5"/>
        </w:numPr>
        <w:overflowPunct/>
        <w:autoSpaceDE/>
        <w:autoSpaceDN/>
        <w:adjustRightInd/>
        <w:jc w:val="both"/>
        <w:textAlignment w:val="auto"/>
        <w:rPr>
          <w:szCs w:val="24"/>
        </w:rPr>
      </w:pPr>
      <w:r w:rsidRPr="007B4A74">
        <w:rPr>
          <w:szCs w:val="24"/>
        </w:rPr>
        <w:t>izglītojamo skaits, kuri bijuši pieteikti izskatīšanai komisijā.</w:t>
      </w:r>
    </w:p>
    <w:p w14:paraId="5F57A8CC"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lastRenderedPageBreak/>
        <w:t>Komisijas locekļi par darbu Komisiju sēdēs saņem atlīdzību Domes noteiktajā kārtībā un apmērā.</w:t>
      </w:r>
    </w:p>
    <w:p w14:paraId="40F37A78"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Komisijas vadītājs nodrošina Komisijas locekļu darba laika uzskaiti un atbild par uzskaites pareizību. Komisijas vadītājs nodrošina darba laika uzskaites iesniegšanu apstiprināšanai Talsu novada pašvaldības noteiktajā kārtībā.</w:t>
      </w:r>
    </w:p>
    <w:p w14:paraId="57AE17B2"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Komisija, apstrādājot iegūtos fizisko personu datus, ievēro Eiropas Parlamenta un Padomes 2016. gada 27. aprīļa Regulā Nr. 2016/679 par fizisku personu aizsardzību attiecībā uz personas datu apstrādi un šādu datu brīvu apriti un ar ko atceļ Direktīvu 95/46/EK (Vispārīgā datu aizsardzības regula) un nacionālajos normatīvajos aktos par personas datu apstrādi noteiktās tiesības, pienākumus un ierobežojumus.</w:t>
      </w:r>
    </w:p>
    <w:p w14:paraId="4CCFFA27" w14:textId="77777777" w:rsidR="00337D31"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Fizisko personu datu Pārzinis ir Pašvaldība, ja normatīvajos aktos nav noteikts citādi.</w:t>
      </w:r>
    </w:p>
    <w:p w14:paraId="61BC98FC" w14:textId="1962F5EB" w:rsidR="00337D31" w:rsidRPr="002D2DE0" w:rsidRDefault="00337D31" w:rsidP="002D2DE0">
      <w:pPr>
        <w:pStyle w:val="Sarakstarindkopa"/>
        <w:numPr>
          <w:ilvl w:val="1"/>
          <w:numId w:val="5"/>
        </w:numPr>
        <w:overflowPunct/>
        <w:autoSpaceDE/>
        <w:autoSpaceDN/>
        <w:adjustRightInd/>
        <w:ind w:left="426"/>
        <w:jc w:val="both"/>
        <w:textAlignment w:val="auto"/>
        <w:rPr>
          <w:rStyle w:val="Hipersaite"/>
          <w:color w:val="auto"/>
          <w:szCs w:val="24"/>
          <w:u w:val="none"/>
        </w:rPr>
      </w:pPr>
      <w:r w:rsidRPr="007B4A74">
        <w:rPr>
          <w:szCs w:val="24"/>
        </w:rPr>
        <w:t xml:space="preserve">Komisijas locekļi saziņai izmanto elektroniskā pasta adresi </w:t>
      </w:r>
      <w:hyperlink r:id="rId10" w:history="1">
        <w:r w:rsidR="007B4A74" w:rsidRPr="007B4A74">
          <w:rPr>
            <w:rStyle w:val="Hipersaite"/>
            <w:szCs w:val="24"/>
          </w:rPr>
          <w:t>vards.uzvards@talsi.lv</w:t>
        </w:r>
      </w:hyperlink>
      <w:r w:rsidR="007B4A74" w:rsidRPr="007B4A74">
        <w:rPr>
          <w:rStyle w:val="Hipersaite"/>
          <w:szCs w:val="24"/>
        </w:rPr>
        <w:t>.</w:t>
      </w:r>
    </w:p>
    <w:p w14:paraId="5363DCCE" w14:textId="77777777" w:rsidR="002D2DE0" w:rsidRPr="002D2DE0" w:rsidRDefault="002D2DE0" w:rsidP="002D2DE0">
      <w:pPr>
        <w:overflowPunct/>
        <w:autoSpaceDE/>
        <w:autoSpaceDN/>
        <w:adjustRightInd/>
        <w:ind w:left="1080"/>
        <w:jc w:val="both"/>
        <w:textAlignment w:val="auto"/>
        <w:rPr>
          <w:szCs w:val="24"/>
        </w:rPr>
      </w:pPr>
    </w:p>
    <w:p w14:paraId="2E39B7B1" w14:textId="7D67969D" w:rsidR="00337D31" w:rsidRDefault="00337D31" w:rsidP="002D2DE0">
      <w:pPr>
        <w:pStyle w:val="Sarakstarindkopa"/>
        <w:numPr>
          <w:ilvl w:val="0"/>
          <w:numId w:val="5"/>
        </w:numPr>
        <w:overflowPunct/>
        <w:autoSpaceDE/>
        <w:autoSpaceDN/>
        <w:adjustRightInd/>
        <w:ind w:left="426"/>
        <w:jc w:val="center"/>
        <w:textAlignment w:val="auto"/>
        <w:rPr>
          <w:b/>
          <w:bCs/>
          <w:szCs w:val="24"/>
        </w:rPr>
      </w:pPr>
      <w:r w:rsidRPr="002D2DE0">
        <w:rPr>
          <w:b/>
          <w:bCs/>
          <w:szCs w:val="24"/>
        </w:rPr>
        <w:t>Noslēguma jautājumi</w:t>
      </w:r>
    </w:p>
    <w:p w14:paraId="1E7C346E" w14:textId="77777777" w:rsidR="002D2DE0" w:rsidRPr="002D2DE0" w:rsidRDefault="002D2DE0" w:rsidP="002D2DE0">
      <w:pPr>
        <w:overflowPunct/>
        <w:autoSpaceDE/>
        <w:autoSpaceDN/>
        <w:adjustRightInd/>
        <w:ind w:left="1080"/>
        <w:jc w:val="center"/>
        <w:textAlignment w:val="auto"/>
        <w:rPr>
          <w:b/>
          <w:bCs/>
          <w:szCs w:val="24"/>
        </w:rPr>
      </w:pPr>
    </w:p>
    <w:p w14:paraId="189DB2E5" w14:textId="74E1BD36" w:rsidR="005D29E2" w:rsidRPr="007B4A74" w:rsidRDefault="00337D31" w:rsidP="002D2DE0">
      <w:pPr>
        <w:pStyle w:val="Sarakstarindkopa"/>
        <w:numPr>
          <w:ilvl w:val="1"/>
          <w:numId w:val="5"/>
        </w:numPr>
        <w:overflowPunct/>
        <w:autoSpaceDE/>
        <w:autoSpaceDN/>
        <w:adjustRightInd/>
        <w:ind w:left="426"/>
        <w:jc w:val="both"/>
        <w:textAlignment w:val="auto"/>
        <w:rPr>
          <w:szCs w:val="24"/>
        </w:rPr>
      </w:pPr>
      <w:r w:rsidRPr="007B4A74">
        <w:rPr>
          <w:szCs w:val="24"/>
        </w:rPr>
        <w:t xml:space="preserve"> </w:t>
      </w:r>
      <w:r w:rsidR="005D29E2" w:rsidRPr="007B4A74">
        <w:rPr>
          <w:szCs w:val="24"/>
        </w:rPr>
        <w:t>Pamatojoties uz pilngadīga izglītojamā, vecāku vai bāriņtiesas iesniegumu, strīdus gadījumā, kas saistīts ar pašvaldības komisijas sniegto atzinumu, atkārtoti izglītojamā veselības stāvokli, spējas un attīstības līmeni</w:t>
      </w:r>
      <w:r w:rsidR="00924190" w:rsidRPr="007B4A74">
        <w:rPr>
          <w:szCs w:val="24"/>
        </w:rPr>
        <w:t xml:space="preserve"> izvērtē</w:t>
      </w:r>
      <w:r w:rsidR="005D29E2" w:rsidRPr="007B4A74">
        <w:rPr>
          <w:szCs w:val="24"/>
        </w:rPr>
        <w:t xml:space="preserve"> un atkārtoti atzinumu par izglītojamam atbilstošāko izglītības programmu</w:t>
      </w:r>
      <w:r w:rsidR="00924190" w:rsidRPr="007B4A74">
        <w:rPr>
          <w:szCs w:val="24"/>
        </w:rPr>
        <w:t xml:space="preserve"> sniedz Valsts pedagoģiski medicīniskā komisija.</w:t>
      </w:r>
    </w:p>
    <w:p w14:paraId="3D48D113" w14:textId="46D31159" w:rsidR="00337D31" w:rsidRPr="007B4A74" w:rsidRDefault="007519DA" w:rsidP="002D2DE0">
      <w:pPr>
        <w:pStyle w:val="Sarakstarindkopa"/>
        <w:numPr>
          <w:ilvl w:val="1"/>
          <w:numId w:val="5"/>
        </w:numPr>
        <w:overflowPunct/>
        <w:autoSpaceDE/>
        <w:autoSpaceDN/>
        <w:adjustRightInd/>
        <w:ind w:left="426"/>
        <w:jc w:val="both"/>
        <w:textAlignment w:val="auto"/>
        <w:rPr>
          <w:szCs w:val="24"/>
        </w:rPr>
      </w:pPr>
      <w:r>
        <w:rPr>
          <w:szCs w:val="24"/>
        </w:rPr>
        <w:t xml:space="preserve"> </w:t>
      </w:r>
      <w:r w:rsidR="00337D31" w:rsidRPr="007B4A74">
        <w:rPr>
          <w:szCs w:val="24"/>
        </w:rPr>
        <w:t>Nolikums stājas spēkā ar 01.12.2024.</w:t>
      </w:r>
    </w:p>
    <w:p w14:paraId="139F8F40" w14:textId="77777777" w:rsidR="00337D31" w:rsidRPr="007B4A74" w:rsidRDefault="00337D31" w:rsidP="002D2DE0">
      <w:pPr>
        <w:jc w:val="both"/>
        <w:rPr>
          <w:szCs w:val="24"/>
        </w:rPr>
      </w:pPr>
    </w:p>
    <w:p w14:paraId="3372A5F0" w14:textId="77777777" w:rsidR="002D2DE0" w:rsidRDefault="002D2DE0" w:rsidP="002D2DE0">
      <w:pPr>
        <w:tabs>
          <w:tab w:val="left" w:pos="7655"/>
        </w:tabs>
        <w:jc w:val="both"/>
        <w:rPr>
          <w:szCs w:val="24"/>
        </w:rPr>
      </w:pPr>
    </w:p>
    <w:p w14:paraId="10CAFFF3" w14:textId="0BED8E24" w:rsidR="00337D31" w:rsidRPr="007B4A74" w:rsidRDefault="00337D31" w:rsidP="002D2DE0">
      <w:pPr>
        <w:tabs>
          <w:tab w:val="left" w:pos="7655"/>
        </w:tabs>
        <w:jc w:val="both"/>
        <w:rPr>
          <w:szCs w:val="24"/>
        </w:rPr>
      </w:pPr>
      <w:r w:rsidRPr="007B4A74">
        <w:rPr>
          <w:szCs w:val="24"/>
        </w:rPr>
        <w:t>Domes priekšsēdētājs</w:t>
      </w:r>
      <w:r w:rsidRPr="007B4A74">
        <w:rPr>
          <w:szCs w:val="24"/>
        </w:rPr>
        <w:tab/>
      </w:r>
      <w:r w:rsidR="007519DA">
        <w:rPr>
          <w:szCs w:val="24"/>
        </w:rPr>
        <w:t xml:space="preserve">          </w:t>
      </w:r>
      <w:r w:rsidRPr="007B4A74">
        <w:rPr>
          <w:szCs w:val="24"/>
        </w:rPr>
        <w:t>A.</w:t>
      </w:r>
      <w:r w:rsidR="002D2DE0">
        <w:rPr>
          <w:szCs w:val="24"/>
        </w:rPr>
        <w:t> </w:t>
      </w:r>
      <w:r w:rsidRPr="007B4A74">
        <w:rPr>
          <w:szCs w:val="24"/>
        </w:rPr>
        <w:t>Āboliņš</w:t>
      </w:r>
    </w:p>
    <w:p w14:paraId="3478CB7C" w14:textId="461EBB3A" w:rsidR="008705C7" w:rsidRPr="00345185" w:rsidRDefault="008705C7" w:rsidP="00337D31">
      <w:pPr>
        <w:jc w:val="center"/>
        <w:rPr>
          <w:sz w:val="22"/>
          <w:szCs w:val="22"/>
        </w:rPr>
      </w:pPr>
    </w:p>
    <w:sectPr w:rsidR="008705C7" w:rsidRPr="00345185" w:rsidSect="00345185">
      <w:footerReference w:type="default" r:id="rId11"/>
      <w:type w:val="continuous"/>
      <w:pgSz w:w="11906" w:h="16838"/>
      <w:pgMar w:top="1134" w:right="851" w:bottom="1134"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D1E01" w14:textId="77777777" w:rsidR="00924190" w:rsidRPr="007B4A74" w:rsidRDefault="00924190">
      <w:r w:rsidRPr="007B4A74">
        <w:separator/>
      </w:r>
    </w:p>
  </w:endnote>
  <w:endnote w:type="continuationSeparator" w:id="0">
    <w:p w14:paraId="498DE82E" w14:textId="77777777" w:rsidR="00924190" w:rsidRPr="007B4A74" w:rsidRDefault="00924190">
      <w:r w:rsidRPr="007B4A7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E7BD5" w14:textId="77777777" w:rsidR="00180681" w:rsidRPr="007B4A74" w:rsidRDefault="00924190">
    <w:pPr>
      <w:jc w:val="center"/>
    </w:pPr>
    <w:r w:rsidRPr="007B4A74">
      <w:rPr>
        <w:sz w:val="20"/>
      </w:rPr>
      <w:t>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1656465"/>
      <w:docPartObj>
        <w:docPartGallery w:val="Page Numbers (Bottom of Page)"/>
        <w:docPartUnique/>
      </w:docPartObj>
    </w:sdtPr>
    <w:sdtEndPr/>
    <w:sdtContent>
      <w:p w14:paraId="56C9CEEA" w14:textId="77777777" w:rsidR="00924190" w:rsidRPr="007B4A74" w:rsidRDefault="00924190">
        <w:pPr>
          <w:pStyle w:val="Kjene"/>
          <w:jc w:val="right"/>
        </w:pPr>
        <w:r w:rsidRPr="007B4A74">
          <w:fldChar w:fldCharType="begin"/>
        </w:r>
        <w:r w:rsidRPr="007B4A74">
          <w:instrText>PAGE   \* MERGEFORMAT</w:instrText>
        </w:r>
        <w:r w:rsidRPr="007B4A74">
          <w:fldChar w:fldCharType="separate"/>
        </w:r>
        <w:r w:rsidR="007519DA">
          <w:rPr>
            <w:noProof/>
          </w:rPr>
          <w:t>2</w:t>
        </w:r>
        <w:r w:rsidRPr="007B4A74">
          <w:fldChar w:fldCharType="end"/>
        </w:r>
      </w:p>
    </w:sdtContent>
  </w:sdt>
  <w:p w14:paraId="1713C558" w14:textId="77777777" w:rsidR="00924190" w:rsidRPr="007B4A74" w:rsidRDefault="00924190">
    <w:pPr>
      <w:pStyle w:val="Kjene"/>
    </w:pPr>
  </w:p>
  <w:p w14:paraId="6C868EBE" w14:textId="77777777" w:rsidR="00924190" w:rsidRPr="007B4A74" w:rsidRDefault="00924190"/>
  <w:p w14:paraId="011EFDB2" w14:textId="77777777" w:rsidR="00924190" w:rsidRPr="007B4A74" w:rsidRDefault="009241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B12F3" w14:textId="77777777" w:rsidR="00924190" w:rsidRPr="007B4A74" w:rsidRDefault="00924190">
      <w:r w:rsidRPr="007B4A74">
        <w:separator/>
      </w:r>
    </w:p>
  </w:footnote>
  <w:footnote w:type="continuationSeparator" w:id="0">
    <w:p w14:paraId="5FFA206B" w14:textId="77777777" w:rsidR="00924190" w:rsidRPr="007B4A74" w:rsidRDefault="00924190">
      <w:r w:rsidRPr="007B4A7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69C2E" w14:textId="77777777" w:rsidR="008705C7" w:rsidRPr="007B4A74" w:rsidRDefault="008705C7" w:rsidP="008705C7">
    <w:pPr>
      <w:pStyle w:val="Galvene"/>
      <w:jc w:val="right"/>
    </w:pPr>
  </w:p>
  <w:p w14:paraId="393283A7" w14:textId="77777777" w:rsidR="008705C7" w:rsidRPr="007B4A74"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C62CB"/>
    <w:multiLevelType w:val="multilevel"/>
    <w:tmpl w:val="7F623F1A"/>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992E14"/>
    <w:multiLevelType w:val="hybridMultilevel"/>
    <w:tmpl w:val="B412984A"/>
    <w:lvl w:ilvl="0" w:tplc="48565FF2">
      <w:start w:val="1"/>
      <w:numFmt w:val="decimal"/>
      <w:lvlText w:val="%1)"/>
      <w:lvlJc w:val="left"/>
      <w:pPr>
        <w:ind w:left="720" w:hanging="360"/>
      </w:pPr>
      <w:rPr>
        <w:rFonts w:hint="default"/>
      </w:rPr>
    </w:lvl>
    <w:lvl w:ilvl="1" w:tplc="3CDC1CC6" w:tentative="1">
      <w:start w:val="1"/>
      <w:numFmt w:val="lowerLetter"/>
      <w:lvlText w:val="%2."/>
      <w:lvlJc w:val="left"/>
      <w:pPr>
        <w:ind w:left="1440" w:hanging="360"/>
      </w:pPr>
    </w:lvl>
    <w:lvl w:ilvl="2" w:tplc="3DC65C7A" w:tentative="1">
      <w:start w:val="1"/>
      <w:numFmt w:val="lowerRoman"/>
      <w:lvlText w:val="%3."/>
      <w:lvlJc w:val="right"/>
      <w:pPr>
        <w:ind w:left="2160" w:hanging="180"/>
      </w:pPr>
    </w:lvl>
    <w:lvl w:ilvl="3" w:tplc="18526452" w:tentative="1">
      <w:start w:val="1"/>
      <w:numFmt w:val="decimal"/>
      <w:lvlText w:val="%4."/>
      <w:lvlJc w:val="left"/>
      <w:pPr>
        <w:ind w:left="2880" w:hanging="360"/>
      </w:pPr>
    </w:lvl>
    <w:lvl w:ilvl="4" w:tplc="FB7672E2" w:tentative="1">
      <w:start w:val="1"/>
      <w:numFmt w:val="lowerLetter"/>
      <w:lvlText w:val="%5."/>
      <w:lvlJc w:val="left"/>
      <w:pPr>
        <w:ind w:left="3600" w:hanging="360"/>
      </w:pPr>
    </w:lvl>
    <w:lvl w:ilvl="5" w:tplc="D93691DA" w:tentative="1">
      <w:start w:val="1"/>
      <w:numFmt w:val="lowerRoman"/>
      <w:lvlText w:val="%6."/>
      <w:lvlJc w:val="right"/>
      <w:pPr>
        <w:ind w:left="4320" w:hanging="180"/>
      </w:pPr>
    </w:lvl>
    <w:lvl w:ilvl="6" w:tplc="00DC715E" w:tentative="1">
      <w:start w:val="1"/>
      <w:numFmt w:val="decimal"/>
      <w:lvlText w:val="%7."/>
      <w:lvlJc w:val="left"/>
      <w:pPr>
        <w:ind w:left="5040" w:hanging="360"/>
      </w:pPr>
    </w:lvl>
    <w:lvl w:ilvl="7" w:tplc="ADD43470" w:tentative="1">
      <w:start w:val="1"/>
      <w:numFmt w:val="lowerLetter"/>
      <w:lvlText w:val="%8."/>
      <w:lvlJc w:val="left"/>
      <w:pPr>
        <w:ind w:left="5760" w:hanging="360"/>
      </w:pPr>
    </w:lvl>
    <w:lvl w:ilvl="8" w:tplc="120259E0" w:tentative="1">
      <w:start w:val="1"/>
      <w:numFmt w:val="lowerRoman"/>
      <w:lvlText w:val="%9."/>
      <w:lvlJc w:val="right"/>
      <w:pPr>
        <w:ind w:left="6480" w:hanging="180"/>
      </w:pPr>
    </w:lvl>
  </w:abstractNum>
  <w:abstractNum w:abstractNumId="3" w15:restartNumberingAfterBreak="0">
    <w:nsid w:val="648A460D"/>
    <w:multiLevelType w:val="hybridMultilevel"/>
    <w:tmpl w:val="67A8023A"/>
    <w:lvl w:ilvl="0" w:tplc="B286521C">
      <w:start w:val="1"/>
      <w:numFmt w:val="decimal"/>
      <w:lvlText w:val="%1)"/>
      <w:lvlJc w:val="left"/>
      <w:pPr>
        <w:ind w:left="720" w:hanging="360"/>
      </w:pPr>
      <w:rPr>
        <w:rFonts w:hint="default"/>
      </w:rPr>
    </w:lvl>
    <w:lvl w:ilvl="1" w:tplc="5C3CFA54" w:tentative="1">
      <w:start w:val="1"/>
      <w:numFmt w:val="lowerLetter"/>
      <w:lvlText w:val="%2."/>
      <w:lvlJc w:val="left"/>
      <w:pPr>
        <w:ind w:left="1440" w:hanging="360"/>
      </w:pPr>
    </w:lvl>
    <w:lvl w:ilvl="2" w:tplc="F582132C" w:tentative="1">
      <w:start w:val="1"/>
      <w:numFmt w:val="lowerRoman"/>
      <w:lvlText w:val="%3."/>
      <w:lvlJc w:val="right"/>
      <w:pPr>
        <w:ind w:left="2160" w:hanging="180"/>
      </w:pPr>
    </w:lvl>
    <w:lvl w:ilvl="3" w:tplc="DE80905A" w:tentative="1">
      <w:start w:val="1"/>
      <w:numFmt w:val="decimal"/>
      <w:lvlText w:val="%4."/>
      <w:lvlJc w:val="left"/>
      <w:pPr>
        <w:ind w:left="2880" w:hanging="360"/>
      </w:pPr>
    </w:lvl>
    <w:lvl w:ilvl="4" w:tplc="57667D88" w:tentative="1">
      <w:start w:val="1"/>
      <w:numFmt w:val="lowerLetter"/>
      <w:lvlText w:val="%5."/>
      <w:lvlJc w:val="left"/>
      <w:pPr>
        <w:ind w:left="3600" w:hanging="360"/>
      </w:pPr>
    </w:lvl>
    <w:lvl w:ilvl="5" w:tplc="52E6D58C" w:tentative="1">
      <w:start w:val="1"/>
      <w:numFmt w:val="lowerRoman"/>
      <w:lvlText w:val="%6."/>
      <w:lvlJc w:val="right"/>
      <w:pPr>
        <w:ind w:left="4320" w:hanging="180"/>
      </w:pPr>
    </w:lvl>
    <w:lvl w:ilvl="6" w:tplc="FDAC3660" w:tentative="1">
      <w:start w:val="1"/>
      <w:numFmt w:val="decimal"/>
      <w:lvlText w:val="%7."/>
      <w:lvlJc w:val="left"/>
      <w:pPr>
        <w:ind w:left="5040" w:hanging="360"/>
      </w:pPr>
    </w:lvl>
    <w:lvl w:ilvl="7" w:tplc="5D34026E" w:tentative="1">
      <w:start w:val="1"/>
      <w:numFmt w:val="lowerLetter"/>
      <w:lvlText w:val="%8."/>
      <w:lvlJc w:val="left"/>
      <w:pPr>
        <w:ind w:left="5760" w:hanging="360"/>
      </w:pPr>
    </w:lvl>
    <w:lvl w:ilvl="8" w:tplc="6FC2C6E2" w:tentative="1">
      <w:start w:val="1"/>
      <w:numFmt w:val="lowerRoman"/>
      <w:lvlText w:val="%9."/>
      <w:lvlJc w:val="right"/>
      <w:pPr>
        <w:ind w:left="6480" w:hanging="180"/>
      </w:pPr>
    </w:lvl>
  </w:abstractNum>
  <w:abstractNum w:abstractNumId="4" w15:restartNumberingAfterBreak="0">
    <w:nsid w:val="784F4C86"/>
    <w:multiLevelType w:val="hybridMultilevel"/>
    <w:tmpl w:val="F11C3E54"/>
    <w:lvl w:ilvl="0" w:tplc="3CE69DD2">
      <w:start w:val="1"/>
      <w:numFmt w:val="decimal"/>
      <w:lvlText w:val="%1)"/>
      <w:lvlJc w:val="left"/>
      <w:pPr>
        <w:ind w:left="720" w:hanging="360"/>
      </w:pPr>
      <w:rPr>
        <w:rFonts w:hint="default"/>
      </w:rPr>
    </w:lvl>
    <w:lvl w:ilvl="1" w:tplc="1700BD92" w:tentative="1">
      <w:start w:val="1"/>
      <w:numFmt w:val="lowerLetter"/>
      <w:lvlText w:val="%2."/>
      <w:lvlJc w:val="left"/>
      <w:pPr>
        <w:ind w:left="1440" w:hanging="360"/>
      </w:pPr>
    </w:lvl>
    <w:lvl w:ilvl="2" w:tplc="208E4A12" w:tentative="1">
      <w:start w:val="1"/>
      <w:numFmt w:val="lowerRoman"/>
      <w:lvlText w:val="%3."/>
      <w:lvlJc w:val="right"/>
      <w:pPr>
        <w:ind w:left="2160" w:hanging="180"/>
      </w:pPr>
    </w:lvl>
    <w:lvl w:ilvl="3" w:tplc="2918CF54" w:tentative="1">
      <w:start w:val="1"/>
      <w:numFmt w:val="decimal"/>
      <w:lvlText w:val="%4."/>
      <w:lvlJc w:val="left"/>
      <w:pPr>
        <w:ind w:left="2880" w:hanging="360"/>
      </w:pPr>
    </w:lvl>
    <w:lvl w:ilvl="4" w:tplc="794240B6" w:tentative="1">
      <w:start w:val="1"/>
      <w:numFmt w:val="lowerLetter"/>
      <w:lvlText w:val="%5."/>
      <w:lvlJc w:val="left"/>
      <w:pPr>
        <w:ind w:left="3600" w:hanging="360"/>
      </w:pPr>
    </w:lvl>
    <w:lvl w:ilvl="5" w:tplc="D8EC7C84" w:tentative="1">
      <w:start w:val="1"/>
      <w:numFmt w:val="lowerRoman"/>
      <w:lvlText w:val="%6."/>
      <w:lvlJc w:val="right"/>
      <w:pPr>
        <w:ind w:left="4320" w:hanging="180"/>
      </w:pPr>
    </w:lvl>
    <w:lvl w:ilvl="6" w:tplc="61FC8B64" w:tentative="1">
      <w:start w:val="1"/>
      <w:numFmt w:val="decimal"/>
      <w:lvlText w:val="%7."/>
      <w:lvlJc w:val="left"/>
      <w:pPr>
        <w:ind w:left="5040" w:hanging="360"/>
      </w:pPr>
    </w:lvl>
    <w:lvl w:ilvl="7" w:tplc="E1B20206" w:tentative="1">
      <w:start w:val="1"/>
      <w:numFmt w:val="lowerLetter"/>
      <w:lvlText w:val="%8."/>
      <w:lvlJc w:val="left"/>
      <w:pPr>
        <w:ind w:left="5760" w:hanging="360"/>
      </w:pPr>
    </w:lvl>
    <w:lvl w:ilvl="8" w:tplc="1F6CCEA4" w:tentative="1">
      <w:start w:val="1"/>
      <w:numFmt w:val="lowerRoman"/>
      <w:lvlText w:val="%9."/>
      <w:lvlJc w:val="right"/>
      <w:pPr>
        <w:ind w:left="6480" w:hanging="180"/>
      </w:pPr>
    </w:lvl>
  </w:abstractNum>
  <w:num w:numId="1" w16cid:durableId="1653564489">
    <w:abstractNumId w:val="4"/>
  </w:num>
  <w:num w:numId="2" w16cid:durableId="1938516098">
    <w:abstractNumId w:val="1"/>
  </w:num>
  <w:num w:numId="3" w16cid:durableId="756291943">
    <w:abstractNumId w:val="3"/>
  </w:num>
  <w:num w:numId="4" w16cid:durableId="715356867">
    <w:abstractNumId w:val="2"/>
  </w:num>
  <w:num w:numId="5" w16cid:durableId="890267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06C79"/>
    <w:rsid w:val="00023AB3"/>
    <w:rsid w:val="000C6FCB"/>
    <w:rsid w:val="00105509"/>
    <w:rsid w:val="00124A67"/>
    <w:rsid w:val="00143F83"/>
    <w:rsid w:val="00180681"/>
    <w:rsid w:val="00185677"/>
    <w:rsid w:val="001D60FC"/>
    <w:rsid w:val="001E79D0"/>
    <w:rsid w:val="00202D36"/>
    <w:rsid w:val="00230463"/>
    <w:rsid w:val="00233419"/>
    <w:rsid w:val="0025329F"/>
    <w:rsid w:val="002602F5"/>
    <w:rsid w:val="0027644D"/>
    <w:rsid w:val="002774EA"/>
    <w:rsid w:val="00283FD0"/>
    <w:rsid w:val="00284D68"/>
    <w:rsid w:val="002B7B76"/>
    <w:rsid w:val="002D2DE0"/>
    <w:rsid w:val="00337D31"/>
    <w:rsid w:val="0034375D"/>
    <w:rsid w:val="00345185"/>
    <w:rsid w:val="00374843"/>
    <w:rsid w:val="00384D3F"/>
    <w:rsid w:val="003A7A7F"/>
    <w:rsid w:val="003C4E0A"/>
    <w:rsid w:val="00440478"/>
    <w:rsid w:val="004429F0"/>
    <w:rsid w:val="00442A62"/>
    <w:rsid w:val="00462812"/>
    <w:rsid w:val="00491BA9"/>
    <w:rsid w:val="00494DF6"/>
    <w:rsid w:val="004A022F"/>
    <w:rsid w:val="004A51EA"/>
    <w:rsid w:val="004B4978"/>
    <w:rsid w:val="004D0034"/>
    <w:rsid w:val="004E5A12"/>
    <w:rsid w:val="00502793"/>
    <w:rsid w:val="0051642F"/>
    <w:rsid w:val="0058146E"/>
    <w:rsid w:val="005C45D3"/>
    <w:rsid w:val="005D29E2"/>
    <w:rsid w:val="005E03E7"/>
    <w:rsid w:val="00604B13"/>
    <w:rsid w:val="00616C32"/>
    <w:rsid w:val="00626E9F"/>
    <w:rsid w:val="006438F9"/>
    <w:rsid w:val="00661A01"/>
    <w:rsid w:val="006803E3"/>
    <w:rsid w:val="006A03BA"/>
    <w:rsid w:val="006D3393"/>
    <w:rsid w:val="006F1F18"/>
    <w:rsid w:val="006F361D"/>
    <w:rsid w:val="006F42BD"/>
    <w:rsid w:val="0071363A"/>
    <w:rsid w:val="00735341"/>
    <w:rsid w:val="007519DA"/>
    <w:rsid w:val="0076750C"/>
    <w:rsid w:val="00784B00"/>
    <w:rsid w:val="00794334"/>
    <w:rsid w:val="007A4DAE"/>
    <w:rsid w:val="007B4A74"/>
    <w:rsid w:val="007D68B3"/>
    <w:rsid w:val="007E5FB3"/>
    <w:rsid w:val="007E6E56"/>
    <w:rsid w:val="007F6A4F"/>
    <w:rsid w:val="00850B9F"/>
    <w:rsid w:val="00854E44"/>
    <w:rsid w:val="008705C7"/>
    <w:rsid w:val="0087717B"/>
    <w:rsid w:val="008A0CD3"/>
    <w:rsid w:val="008A473D"/>
    <w:rsid w:val="008C2C19"/>
    <w:rsid w:val="008D6551"/>
    <w:rsid w:val="00924190"/>
    <w:rsid w:val="009377A9"/>
    <w:rsid w:val="009663E8"/>
    <w:rsid w:val="00970200"/>
    <w:rsid w:val="00984DAF"/>
    <w:rsid w:val="0099355C"/>
    <w:rsid w:val="00997346"/>
    <w:rsid w:val="00A0254C"/>
    <w:rsid w:val="00A210BC"/>
    <w:rsid w:val="00A26151"/>
    <w:rsid w:val="00A32284"/>
    <w:rsid w:val="00A47809"/>
    <w:rsid w:val="00A919ED"/>
    <w:rsid w:val="00A97936"/>
    <w:rsid w:val="00AC4070"/>
    <w:rsid w:val="00AE0806"/>
    <w:rsid w:val="00B04902"/>
    <w:rsid w:val="00B123DA"/>
    <w:rsid w:val="00B672FF"/>
    <w:rsid w:val="00B748F4"/>
    <w:rsid w:val="00B91882"/>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0C1C"/>
    <w:rsid w:val="00D1263D"/>
    <w:rsid w:val="00D24BBD"/>
    <w:rsid w:val="00D25D34"/>
    <w:rsid w:val="00D30513"/>
    <w:rsid w:val="00D41C19"/>
    <w:rsid w:val="00D83A29"/>
    <w:rsid w:val="00DB1737"/>
    <w:rsid w:val="00DC32C0"/>
    <w:rsid w:val="00DD311E"/>
    <w:rsid w:val="00DE6D74"/>
    <w:rsid w:val="00E03524"/>
    <w:rsid w:val="00E07306"/>
    <w:rsid w:val="00E247A5"/>
    <w:rsid w:val="00E370B2"/>
    <w:rsid w:val="00E47998"/>
    <w:rsid w:val="00E611E9"/>
    <w:rsid w:val="00E669A3"/>
    <w:rsid w:val="00E72A7C"/>
    <w:rsid w:val="00E77495"/>
    <w:rsid w:val="00EB0E49"/>
    <w:rsid w:val="00EB3837"/>
    <w:rsid w:val="00EF36F2"/>
    <w:rsid w:val="00F41953"/>
    <w:rsid w:val="00F61FA7"/>
    <w:rsid w:val="00FB21AC"/>
    <w:rsid w:val="00FD4D28"/>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5BCF39"/>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uiPriority w:val="99"/>
    <w:rsid w:val="006A03BA"/>
    <w:pPr>
      <w:tabs>
        <w:tab w:val="center" w:pos="4153"/>
        <w:tab w:val="right" w:pos="8306"/>
      </w:tabs>
    </w:pPr>
  </w:style>
  <w:style w:type="character" w:customStyle="1" w:styleId="KjeneRakstz">
    <w:name w:val="Kājene Rakstz."/>
    <w:link w:val="Kjene"/>
    <w:uiPriority w:val="99"/>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 w:type="character" w:customStyle="1" w:styleId="Neatrisintapieminana1">
    <w:name w:val="Neatrisināta pieminēšana1"/>
    <w:basedOn w:val="Noklusjumarindkopasfonts"/>
    <w:uiPriority w:val="99"/>
    <w:semiHidden/>
    <w:unhideWhenUsed/>
    <w:rsid w:val="007B4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vards.uzvards@talsi.lv"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1225</Words>
  <Characters>8756</Characters>
  <Application>Microsoft Office Word</Application>
  <DocSecurity>0</DocSecurity>
  <Lines>72</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Uldis Katlaps</cp:lastModifiedBy>
  <cp:revision>14</cp:revision>
  <cp:lastPrinted>2017-07-07T07:29:00Z</cp:lastPrinted>
  <dcterms:created xsi:type="dcterms:W3CDTF">2024-11-06T19:47:00Z</dcterms:created>
  <dcterms:modified xsi:type="dcterms:W3CDTF">2024-11-14T10:12:00Z</dcterms:modified>
</cp:coreProperties>
</file>